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6.png" ContentType="image/png"/>
  <Override PartName="/word/media/rId112.png" ContentType="image/png"/>
  <Override PartName="/word/media/rId115.png" ContentType="image/png"/>
  <Override PartName="/word/media/rId10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that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 A common consequence of infection by many viruses is to induce high glucose metabolism in cells. Adenoviruses have also been shown to upregulate energy metabolic pathways such as glycolysis</w:t>
      </w:r>
      <w:r>
        <w:t xml:space="preserve"> </w:t>
      </w:r>
      <w:r>
        <w:t xml:space="preserve">(32)</w:t>
      </w:r>
      <w:r>
        <w:t xml:space="preserve">. However, our results show a downregulation in glycolysis, tricarboxylic acid cycle, oxidative phosphorylation, and ATP synthesis (</w:t>
      </w:r>
      <w:r>
        <w:rPr>
          <w:b/>
          <w:bCs/>
        </w:rPr>
        <w:t xml:space="preserve">Table 2B</w:t>
      </w:r>
      <w:r>
        <w:t xml:space="preserve">). These results indicate that THEV infection may modulate cellular energy metabolism processes differently than other adenoviruses.</w:t>
      </w:r>
      <w:r>
        <w:t xml:space="preserve"> </w:t>
      </w:r>
      <w:r>
        <w:rPr>
          <w:strike/>
        </w:rPr>
        <w:t xml:space="preserve">However, the previously documented metabolic changes were seen in primary cells; therefore,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(6 upregulated and 5 downregulated) were selected for RT-qPCR. The DEGs were representative of apoptosis (…), ERAD and ubiquitination (…), and ribosome biosynthetic (…)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(34)</w:t>
      </w:r>
      <w:r>
        <w:t xml:space="preserve">, a popular workflow management system to drive the pipeline. Briefly, raw sequencing reads were trimmed with Cutadapt - version 1.10</w:t>
      </w:r>
      <w:r>
        <w:t xml:space="preserve"> </w:t>
      </w:r>
      <w:r>
        <w:t xml:space="preserve">(35)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(36–38)</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5" w:name="references"/>
    <w:p>
      <w:pPr>
        <w:pStyle w:val="Heading2"/>
      </w:pPr>
      <w:r>
        <w:t xml:space="preserve">REFERENCES</w:t>
      </w:r>
    </w:p>
    <w:p>
      <w:pPr>
        <w:pStyle w:val="FirstParagraph"/>
      </w:pPr>
    </w:p>
    <w:bookmarkStart w:id="104"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Christianson2022"/>
    <w:p>
      <w:pPr>
        <w:pStyle w:val="Bibliography"/>
      </w:pPr>
      <w:r>
        <w:t xml:space="preserve">31.</w:t>
      </w:r>
      <w:r>
        <w:t xml:space="preserve"> </w:t>
      </w:r>
      <w:r>
        <w:t xml:space="preserve">	</w:t>
      </w:r>
      <w:r>
        <w:t xml:space="preserve">Christianson JC, Carvalho P. 2022.</w:t>
      </w:r>
      <w:r>
        <w:t xml:space="preserve"> </w:t>
      </w:r>
      <w:hyperlink r:id="rId88">
        <w:r>
          <w:rPr>
            <w:rStyle w:val="Hyperlink"/>
          </w:rPr>
          <w:t xml:space="preserve">Order through destruction: How ER‐associated protein degradation contributes to organelle homeostasis</w:t>
        </w:r>
      </w:hyperlink>
      <w:r>
        <w:t xml:space="preserve">. The EMBO Journal 41.</w:t>
      </w:r>
    </w:p>
    <w:bookmarkEnd w:id="89"/>
    <w:bookmarkStart w:id="91" w:name="ref-Thai2014"/>
    <w:p>
      <w:pPr>
        <w:pStyle w:val="Bibliography"/>
      </w:pPr>
      <w:r>
        <w:t xml:space="preserve">32.</w:t>
      </w:r>
      <w:r>
        <w:t xml:space="preserve"> </w:t>
      </w:r>
      <w:r>
        <w:t xml:space="preserve">	</w:t>
      </w:r>
      <w:r>
        <w:t xml:space="preserve">Thai M, Graham NA, Braas D, Nehil M, Komisopoulou E, Kurdistani SK, McCormick F, Graeber TG, Christofk HR. 2014.</w:t>
      </w:r>
      <w:r>
        <w:t xml:space="preserve"> </w:t>
      </w:r>
      <w:hyperlink r:id="rId90">
        <w:r>
          <w:rPr>
            <w:rStyle w:val="Hyperlink"/>
          </w:rPr>
          <w:t xml:space="preserve">Adenovirus E4ORF1-induced MYC activation promotes host cell anabolic glucose metabolism and virus replication</w:t>
        </w:r>
      </w:hyperlink>
      <w:r>
        <w:t xml:space="preserve">. Cell Metabolism 19:694–701.</w:t>
      </w:r>
    </w:p>
    <w:bookmarkEnd w:id="91"/>
    <w:bookmarkStart w:id="93" w:name="ref-Mahsoub2017"/>
    <w:p>
      <w:pPr>
        <w:pStyle w:val="Bibliography"/>
      </w:pPr>
      <w:r>
        <w:t xml:space="preserve">33.</w:t>
      </w:r>
      <w:r>
        <w:t xml:space="preserve"> </w:t>
      </w:r>
      <w:r>
        <w:t xml:space="preserve">	</w:t>
      </w:r>
      <w:r>
        <w:t xml:space="preserve">Mahsoub HM, Evans NP, Beach NM, Yuan L, Zimmerman K, Pierson FW. 2017.</w:t>
      </w:r>
      <w:r>
        <w:t xml:space="preserve"> </w:t>
      </w:r>
      <w:hyperlink r:id="rId9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3"/>
    <w:bookmarkStart w:id="95" w:name="ref-Snakemake2021"/>
    <w:p>
      <w:pPr>
        <w:pStyle w:val="Bibliography"/>
      </w:pPr>
      <w:r>
        <w:t xml:space="preserve">34.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4">
        <w:r>
          <w:rPr>
            <w:rStyle w:val="Hyperlink"/>
          </w:rPr>
          <w:t xml:space="preserve">Sustainable data analysis with snakemake</w:t>
        </w:r>
      </w:hyperlink>
      <w:r>
        <w:t xml:space="preserve">. F1000Research 10:33.</w:t>
      </w:r>
    </w:p>
    <w:bookmarkEnd w:id="95"/>
    <w:bookmarkStart w:id="97" w:name="ref-Martin2011"/>
    <w:p>
      <w:pPr>
        <w:pStyle w:val="Bibliography"/>
      </w:pPr>
      <w:r>
        <w:t xml:space="preserve">35.</w:t>
      </w:r>
      <w:r>
        <w:t xml:space="preserve"> </w:t>
      </w:r>
      <w:r>
        <w:t xml:space="preserve">	</w:t>
      </w:r>
      <w:r>
        <w:t xml:space="preserve">Martin M. 2011.</w:t>
      </w:r>
      <w:r>
        <w:t xml:space="preserve"> </w:t>
      </w:r>
      <w:hyperlink r:id="rId96">
        <w:r>
          <w:rPr>
            <w:rStyle w:val="Hyperlink"/>
          </w:rPr>
          <w:t xml:space="preserve">Cutadapt removes adapter sequences from high-throughput sequencing reads</w:t>
        </w:r>
      </w:hyperlink>
      <w:r>
        <w:t xml:space="preserve">. EMBnetjournal 17:10.</w:t>
      </w:r>
    </w:p>
    <w:bookmarkEnd w:id="97"/>
    <w:bookmarkStart w:id="99" w:name="ref-ggplot2"/>
    <w:p>
      <w:pPr>
        <w:pStyle w:val="Bibliography"/>
      </w:pPr>
      <w:r>
        <w:t xml:space="preserve">36.</w:t>
      </w:r>
      <w:r>
        <w:t xml:space="preserve"> </w:t>
      </w:r>
      <w:r>
        <w:t xml:space="preserve">	</w:t>
      </w:r>
      <w:r>
        <w:t xml:space="preserve">Wickham H. 2016. ggplot2: Elegant graphics for data analysis. Springer-Verlag New York.</w:t>
      </w:r>
      <w:r>
        <w:t xml:space="preserve"> </w:t>
      </w:r>
      <w:hyperlink r:id="rId98">
        <w:r>
          <w:rPr>
            <w:rStyle w:val="Hyperlink"/>
          </w:rPr>
          <w:t xml:space="preserve">https://ggplot2.tidyverse.org</w:t>
        </w:r>
      </w:hyperlink>
      <w:r>
        <w:t xml:space="preserve">.</w:t>
      </w:r>
    </w:p>
    <w:bookmarkEnd w:id="99"/>
    <w:bookmarkStart w:id="101" w:name="ref-pheatmap"/>
    <w:p>
      <w:pPr>
        <w:pStyle w:val="Bibliography"/>
      </w:pPr>
      <w:r>
        <w:t xml:space="preserve">37.</w:t>
      </w:r>
      <w:r>
        <w:t xml:space="preserve"> </w:t>
      </w:r>
      <w:r>
        <w:t xml:space="preserve">	</w:t>
      </w:r>
      <w:r>
        <w:t xml:space="preserve">Kolde R. 2019. Pheatmap: Pretty heatmaps.</w:t>
      </w:r>
      <w:r>
        <w:t xml:space="preserve"> </w:t>
      </w:r>
      <w:hyperlink r:id="rId100">
        <w:r>
          <w:rPr>
            <w:rStyle w:val="Hyperlink"/>
          </w:rPr>
          <w:t xml:space="preserve">https://CRAN.R-project.org/package=pheatmap</w:t>
        </w:r>
      </w:hyperlink>
      <w:r>
        <w:t xml:space="preserve">.</w:t>
      </w:r>
    </w:p>
    <w:bookmarkEnd w:id="101"/>
    <w:bookmarkStart w:id="103" w:name="ref-ggvenn"/>
    <w:p>
      <w:pPr>
        <w:pStyle w:val="Bibliography"/>
      </w:pPr>
      <w:r>
        <w:t xml:space="preserve">38.</w:t>
      </w:r>
      <w:r>
        <w:t xml:space="preserve"> </w:t>
      </w:r>
      <w:r>
        <w:t xml:space="preserve">	</w:t>
      </w:r>
      <w:r>
        <w:t xml:space="preserve">Yan L. 2023. Ggvenn: Draw venn diagram by ’ggplot2’.</w:t>
      </w:r>
      <w:r>
        <w:t xml:space="preserve"> </w:t>
      </w:r>
      <w:hyperlink r:id="rId102">
        <w:r>
          <w:rPr>
            <w:rStyle w:val="Hyperlink"/>
          </w:rPr>
          <w:t xml:space="preserve">https://CRAN.R-project.org/package=ggvenn</w:t>
        </w:r>
      </w:hyperlink>
      <w:r>
        <w:t xml:space="preserve">.</w:t>
      </w:r>
    </w:p>
    <w:bookmarkEnd w:id="103"/>
    <w:bookmarkEnd w:id="104"/>
    <w:p>
      <w:r>
        <w:br w:type="page"/>
      </w:r>
    </w:p>
    <w:bookmarkEnd w:id="105"/>
    <w:bookmarkStart w:id="118"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8"/>
    <w:bookmarkStart w:id="119" w:name="supplementary-informationmaterials"/>
    <w:p>
      <w:pPr>
        <w:pStyle w:val="Heading2"/>
      </w:pPr>
      <w:r>
        <w:t xml:space="preserve">SUPPLEMENTARY INFORMATION/MATERIALS</w:t>
      </w:r>
    </w:p>
    <w:bookmarkEnd w:id="11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6" Type="http://schemas.openxmlformats.org/officeDocument/2006/relationships/image" Target="media/rId106.png"/>
<Relationship Id="rId112" Type="http://schemas.openxmlformats.org/officeDocument/2006/relationships/image" Target="media/rId112.png"/>
<Relationship Id="rId115" Type="http://schemas.openxmlformats.org/officeDocument/2006/relationships/image" Target="media/rId115.png"/>
<Relationship Id="rId109" Type="http://schemas.openxmlformats.org/officeDocument/2006/relationships/image" Target="media/rId109.png"/>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2024-11-26T09:35:08Z</dcterms:created>
  <dcterms:modified xsi:type="dcterms:W3CDTF">2024-11-26T02:35:11Z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